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ZJSP67-2021-0004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浙江省卫生健康委员会</w:t>
      </w:r>
      <w:bookmarkEnd w:id="0"/>
      <w:bookmarkEnd w:id="1"/>
      <w:bookmarkEnd w:id="2"/>
    </w:p>
    <w:p>
      <w:pPr>
        <w:pStyle w:val="Style8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both"/>
      </w:pPr>
      <w:bookmarkStart w:id="0" w:name="bookmark0"/>
      <w:bookmarkStart w:id="1" w:name="bookmark1"/>
      <w:bookmarkStart w:id="3" w:name="bookmark3"/>
      <w:r>
        <w:rPr>
          <w:spacing w:val="0"/>
          <w:w w:val="100"/>
          <w:position w:val="0"/>
        </w:rPr>
        <w:t>浙江省医疗保障局文件 浙江省财政厅</w:t>
      </w:r>
      <w:bookmarkEnd w:id="0"/>
      <w:bookmarkEnd w:id="1"/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浙卫发〔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〕</w:t>
      </w:r>
      <w:r>
        <w:rPr>
          <w:b/>
          <w:bCs/>
          <w:color w:val="000000"/>
          <w:spacing w:val="0"/>
          <w:w w:val="100"/>
          <w:position w:val="0"/>
        </w:rPr>
        <w:t>33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10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浙江省卫生健康委员会浙江省医疗保障局</w:t>
        <w:br/>
        <w:t>浙江省财政厅关于全面推进医疗机构间医学</w:t>
        <w:br/>
        <w:t>影像检查资料和医学检验结果互认共享</w:t>
        <w:br/>
        <w:t>工作的实施意见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各市、县（市、区）卫生健康委（局）、医保局、财政局，省 级医疗卫生健康单位：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60" w:line="684" w:lineRule="exact"/>
        <w:ind w:left="0" w:right="0" w:firstLine="660"/>
        <w:jc w:val="both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2184" w:right="1302" w:bottom="1753" w:left="1627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为深入贯彻国家卫生健康委等</w:t>
      </w:r>
      <w:r>
        <w:rPr>
          <w:b/>
          <w:bCs/>
          <w:color w:val="000000"/>
          <w:spacing w:val="0"/>
          <w:w w:val="100"/>
          <w:position w:val="0"/>
        </w:rPr>
        <w:t>8</w:t>
      </w:r>
      <w:r>
        <w:rPr>
          <w:color w:val="000000"/>
          <w:spacing w:val="0"/>
          <w:w w:val="100"/>
          <w:position w:val="0"/>
        </w:rPr>
        <w:t>部门联合印发的《关于进一 步规范医疗行为促进合理医疗检查的指导意见》（国卫医发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63" w:lineRule="exact"/>
        <w:ind w:left="0" w:right="0" w:firstLine="1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〔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2020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〕</w:t>
      </w: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29</w:t>
      </w:r>
      <w:r>
        <w:rPr>
          <w:color w:val="000000"/>
          <w:spacing w:val="0"/>
          <w:w w:val="100"/>
          <w:position w:val="0"/>
        </w:rPr>
        <w:t>号）和《浙江省医疗保障条例》，深化卫生健康领域 数字化改革，切实减轻群众看病就医负担，持续改善医疗服务， 现就全面推进全省医疗机构间医学影像检查资料和医学检验结 果互认共享工作提出以下实施意见。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63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一'工作原则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79" w:val="left"/>
        </w:tabs>
        <w:bidi w:val="0"/>
        <w:spacing w:before="0" w:after="0" w:line="663" w:lineRule="exact"/>
        <w:ind w:left="0" w:right="0" w:firstLine="780"/>
        <w:jc w:val="both"/>
      </w:pPr>
      <w:bookmarkStart w:id="4" w:name="bookmark4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一）</w:t>
        <w:tab/>
        <w:t>坚持数字引领，推进互联互通。医学影像检查资料和 医学检验结果的互认坚持以信息化建设为基础，建设智能、高效、 融合、经济的数据存储和传输模式。统一项目唯一编码，构成业 务流、数据流、信息流多流合一的应用场景。要打造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“操</w:t>
      </w:r>
      <w:r>
        <w:rPr>
          <w:color w:val="000000"/>
          <w:spacing w:val="0"/>
          <w:w w:val="100"/>
          <w:position w:val="0"/>
        </w:rPr>
        <w:t>作友好 型”医生服务终端，达到提醒精准、调阅迅速、互认方便、操作 便捷的建设标准。信息系统需按照全省统一标准具备提醒调阅 率、互认率、诊断符合率、互认不遵从率等关键指标的统计分析 功能。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79" w:val="left"/>
        </w:tabs>
        <w:bidi w:val="0"/>
        <w:spacing w:before="0" w:after="0" w:line="662" w:lineRule="exact"/>
        <w:ind w:left="0" w:right="0" w:firstLine="780"/>
        <w:jc w:val="both"/>
      </w:pPr>
      <w:bookmarkStart w:id="5" w:name="bookmark5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二）</w:t>
        <w:tab/>
        <w:t>坚持安全底线，提高医疗质量。医学影像检查资料和 医学检验结果互认以不影响疾病诊疗为前提，医患双方应遵循疾 病的变化规律，恪守诊疗常规，由临床医生根据诊疗需要科学选 择互认结果，确保医疗安全。要加强临床检验和医学影像等专业 的医疗质量控制，提高医学检查检验的整体质量与水平。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79" w:val="left"/>
        </w:tabs>
        <w:bidi w:val="0"/>
        <w:spacing w:before="0" w:after="0" w:line="629" w:lineRule="exact"/>
        <w:ind w:left="0" w:right="0" w:firstLine="780"/>
        <w:jc w:val="both"/>
        <w:rPr>
          <w:sz w:val="28"/>
          <w:szCs w:val="28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955" w:right="1409" w:bottom="875" w:left="1591" w:header="0" w:footer="3" w:gutter="0"/>
          <w:cols w:space="720"/>
          <w:noEndnote/>
          <w:rtlGutter w:val="0"/>
          <w:docGrid w:linePitch="360"/>
        </w:sectPr>
      </w:pPr>
      <w:bookmarkStart w:id="6" w:name="bookmark6"/>
      <w:r>
        <w:rPr>
          <w:color w:val="000000"/>
          <w:spacing w:val="0"/>
          <w:w w:val="100"/>
          <w:position w:val="0"/>
          <w:sz w:val="30"/>
          <w:szCs w:val="30"/>
        </w:rPr>
        <w:t>（</w:t>
      </w:r>
      <w:bookmarkEnd w:id="6"/>
      <w:r>
        <w:rPr>
          <w:color w:val="000000"/>
          <w:spacing w:val="0"/>
          <w:w w:val="100"/>
          <w:position w:val="0"/>
          <w:sz w:val="30"/>
          <w:szCs w:val="30"/>
        </w:rPr>
        <w:t>三）</w:t>
        <w:tab/>
        <w:t xml:space="preserve">坚持以人为本，切实改善服务。以确保医疗质量与医 疗安全为前提，简化就医环节、缩短等候时间，避免不必要的重 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  <w:sz w:val="28"/>
          <w:szCs w:val="28"/>
        </w:rPr>
        <w:t>2 -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120" w:after="0" w:line="65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复检查检验，减少群众就医负担。属于互认项目且检查检验质量 达到要求的，其结果在医疗机构间具有相同有效性，医生要按照 互认原则判断是否互认，同时确保医生服务端和患者服务端均可 查阅相关资料和结果，不断提升患者就医满意度。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4" w:lineRule="exact"/>
        <w:ind w:left="0" w:right="0" w:firstLine="800"/>
        <w:jc w:val="both"/>
      </w:pPr>
      <w:bookmarkStart w:id="7" w:name="bookmark7"/>
      <w:r>
        <w:rPr>
          <w:color w:val="000000"/>
          <w:spacing w:val="0"/>
          <w:w w:val="100"/>
          <w:position w:val="0"/>
        </w:rPr>
        <w:t>（</w:t>
      </w:r>
      <w:bookmarkEnd w:id="7"/>
      <w:r>
        <w:rPr>
          <w:color w:val="000000"/>
          <w:spacing w:val="0"/>
          <w:w w:val="100"/>
          <w:position w:val="0"/>
        </w:rPr>
        <w:t>四）坚持稳中有进，分步推动落实。优先将参加国家级或 省级质控、稳定性好、费用较贵、检测频度高的项目纳入互认内 容，结合本省实际逐步动态调整互认项目。按照医学客观条件， 优先在临床检验和放射影像专业开展互认工作。</w:t>
      </w:r>
      <w:r>
        <w:rPr>
          <w:b/>
          <w:bCs/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</w:rPr>
        <w:t>家省级医院、 杭州市、嘉兴市作为试点在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9</w:t>
      </w:r>
      <w:r>
        <w:rPr>
          <w:color w:val="000000"/>
          <w:spacing w:val="0"/>
          <w:w w:val="100"/>
          <w:position w:val="0"/>
        </w:rPr>
        <w:t>月底前实现互联互通互认, 其余省级医院、县市级医院按照全省统一要求在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月底前实现 区域互联互通互认，</w:t>
      </w:r>
      <w:r>
        <w:rPr>
          <w:b/>
          <w:bCs/>
          <w:color w:val="000000"/>
          <w:spacing w:val="0"/>
          <w:w w:val="100"/>
          <w:position w:val="0"/>
        </w:rPr>
        <w:t>12</w:t>
      </w:r>
      <w:r>
        <w:rPr>
          <w:color w:val="000000"/>
          <w:spacing w:val="0"/>
          <w:w w:val="100"/>
          <w:position w:val="0"/>
        </w:rPr>
        <w:t>月底前以设区市为单位完成与省平台的 对接，最终实现省市县医疗机构间的互联互通互认。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4" w:lineRule="exact"/>
        <w:ind w:left="0" w:right="0" w:firstLine="660"/>
        <w:jc w:val="both"/>
        <w:rPr>
          <w:sz w:val="32"/>
          <w:szCs w:val="32"/>
        </w:rPr>
      </w:pPr>
      <w:bookmarkStart w:id="8" w:name="bookmark8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8"/>
      <w:r>
        <w:rPr>
          <w:color w:val="000000"/>
          <w:spacing w:val="0"/>
          <w:w w:val="100"/>
          <w:position w:val="0"/>
          <w:sz w:val="32"/>
          <w:szCs w:val="32"/>
        </w:rPr>
        <w:t>、互认机构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65" w:val="left"/>
        </w:tabs>
        <w:bidi w:val="0"/>
        <w:spacing w:before="0" w:after="0" w:line="654" w:lineRule="exact"/>
        <w:ind w:left="0" w:right="0" w:firstLine="80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一）</w:t>
        <w:tab/>
        <w:t>医学检验项目被互认的医疗机构需通过国家、省级室 间质评。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95" w:val="left"/>
        </w:tabs>
        <w:bidi w:val="0"/>
        <w:spacing w:before="0" w:after="0" w:line="662" w:lineRule="exact"/>
        <w:ind w:left="0" w:right="0" w:firstLine="80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550" w:right="1357" w:bottom="1460" w:left="1596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（二）</w:t>
        <w:tab/>
        <w:t xml:space="preserve">全省二级甲等及以上医疗机构、独立第三方医学检测 机构间对医学影像检查资料和医学检验结果予以互认（医学检验 项目委托符合要求的独立第三方医学检测机构开展检测的二级 乙等及以下医疗机构纳入互认范畴）；全省二级乙等及以下医疗 机构间对医学影像检查资料和医学检验结果予以互认，并对二级 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95" w:val="left"/>
        </w:tabs>
        <w:bidi w:val="0"/>
        <w:spacing w:before="0" w:after="0" w:line="662" w:lineRule="exact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甲等及以上医疗机构、独立第三方医学检测机构医学影像检查资 料和医学检验结果予以认可。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72" w:lineRule="exact"/>
        <w:ind w:left="0" w:right="0" w:firstLine="760"/>
        <w:jc w:val="both"/>
      </w:pPr>
      <w:bookmarkStart w:id="11" w:name="bookmark1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三）城市医联体、县域医共体内各医疗机构对医学影像检 查资料和医学检验结果予以互认，不断加强同质化、规范化、标 准化的质量控制。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69" w:val="left"/>
        </w:tabs>
        <w:bidi w:val="0"/>
        <w:spacing w:before="0" w:after="0" w:line="672" w:lineRule="exact"/>
        <w:ind w:left="0" w:right="0" w:firstLine="640"/>
        <w:jc w:val="both"/>
        <w:rPr>
          <w:sz w:val="32"/>
          <w:szCs w:val="32"/>
        </w:rPr>
      </w:pPr>
      <w:bookmarkStart w:id="12" w:name="bookmark12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12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互认项目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11" w:val="left"/>
        </w:tabs>
        <w:bidi w:val="0"/>
        <w:spacing w:before="0" w:after="0" w:line="677" w:lineRule="exact"/>
        <w:ind w:left="0" w:right="0" w:firstLine="76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一）</w:t>
        <w:tab/>
        <w:t>医学检验结果相互认可的项目共</w:t>
      </w:r>
      <w:r>
        <w:rPr>
          <w:b/>
          <w:bCs/>
          <w:color w:val="000000"/>
          <w:spacing w:val="0"/>
          <w:w w:val="100"/>
          <w:position w:val="0"/>
        </w:rPr>
        <w:t>93</w:t>
      </w:r>
      <w:r>
        <w:rPr>
          <w:color w:val="000000"/>
          <w:spacing w:val="0"/>
          <w:w w:val="100"/>
          <w:position w:val="0"/>
        </w:rPr>
        <w:t>项（具体项目清 单见附件</w:t>
      </w:r>
      <w:r>
        <w:rPr>
          <w:b/>
          <w:bCs/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21" w:val="left"/>
        </w:tabs>
        <w:bidi w:val="0"/>
        <w:spacing w:before="0" w:after="0" w:line="665" w:lineRule="exact"/>
        <w:ind w:left="0" w:right="0" w:firstLine="76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二）</w:t>
        <w:tab/>
        <w:t>医学影像检查资料互相认可的项目共</w:t>
      </w:r>
      <w:r>
        <w:rPr>
          <w:b/>
          <w:bCs/>
          <w:color w:val="000000"/>
          <w:spacing w:val="0"/>
          <w:w w:val="100"/>
          <w:position w:val="0"/>
        </w:rPr>
        <w:t>180</w:t>
      </w:r>
      <w:r>
        <w:rPr>
          <w:color w:val="000000"/>
          <w:spacing w:val="0"/>
          <w:w w:val="100"/>
          <w:position w:val="0"/>
        </w:rPr>
        <w:t>项，（具体 项目清单见附件</w:t>
      </w:r>
      <w:r>
        <w:rPr>
          <w:b/>
          <w:bCs/>
          <w:color w:val="000000"/>
          <w:spacing w:val="0"/>
          <w:w w:val="100"/>
          <w:position w:val="0"/>
        </w:rPr>
        <w:t>2）,</w:t>
      </w:r>
      <w:r>
        <w:rPr>
          <w:color w:val="000000"/>
          <w:spacing w:val="0"/>
          <w:w w:val="100"/>
          <w:position w:val="0"/>
        </w:rPr>
        <w:t>涉及的影像资料应做到检查过程规范、检 查项目齐全、序列完整、图像清晰、质量可靠、达到诊断要求（具 有时效性），患者基本信息和检查日期准确，报告和资料的文字 符合医疗文件书写规范、字迹清楚、病变相关数据准确。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11" w:val="left"/>
        </w:tabs>
        <w:bidi w:val="0"/>
        <w:spacing w:before="0" w:after="0" w:line="665" w:lineRule="exact"/>
        <w:ind w:left="0" w:right="0" w:firstLine="760"/>
        <w:jc w:val="both"/>
      </w:pPr>
      <w:bookmarkStart w:id="15" w:name="bookmark1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三）</w:t>
        <w:tab/>
        <w:t>随着卫生健康领域数字化改革的推进及医疗质量同质 化水平的不断提升，医学影像检查资料和医学检验结果互认项目 可逐年增加。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69" w:val="left"/>
        </w:tabs>
        <w:bidi w:val="0"/>
        <w:spacing w:before="0" w:after="0" w:line="665" w:lineRule="exact"/>
        <w:ind w:left="0" w:right="0" w:firstLine="640"/>
        <w:jc w:val="both"/>
        <w:rPr>
          <w:sz w:val="32"/>
          <w:szCs w:val="32"/>
        </w:rPr>
      </w:pPr>
      <w:bookmarkStart w:id="16" w:name="bookmark16"/>
      <w:r>
        <w:rPr>
          <w:color w:val="000000"/>
          <w:spacing w:val="0"/>
          <w:w w:val="100"/>
          <w:position w:val="0"/>
          <w:sz w:val="32"/>
          <w:szCs w:val="32"/>
        </w:rPr>
        <w:t>四</w:t>
      </w:r>
      <w:bookmarkEnd w:id="16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互认规则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65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（一）在保证质量与安全的前提下，诊治医生对提供</w:t>
      </w:r>
      <w:r>
        <w:rPr>
          <w:b/>
          <w:bCs/>
          <w:color w:val="000000"/>
          <w:spacing w:val="0"/>
          <w:w w:val="100"/>
          <w:position w:val="0"/>
        </w:rPr>
        <w:t>30</w:t>
      </w:r>
      <w:r>
        <w:rPr>
          <w:color w:val="000000"/>
          <w:spacing w:val="0"/>
          <w:w w:val="100"/>
          <w:position w:val="0"/>
        </w:rPr>
        <w:t>天 内规范完整的检验、检查报告和相应影像资料的（包括提供按规 定可以复制的检查报告和相应影像资料的），遵照互认项目和适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74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用范围原则上予以认可，一般不再进行重复检查。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40" w:val="left"/>
        </w:tabs>
        <w:bidi w:val="0"/>
        <w:spacing w:before="0" w:after="0" w:line="672" w:lineRule="exact"/>
        <w:ind w:left="0" w:right="0" w:firstLine="800"/>
        <w:jc w:val="both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二）</w:t>
        <w:tab/>
        <w:t>在诊疗过程中，由诊治医生根据患者的具体病情判断 是否接受互认。对认可的外院检查检验结果应采用信息化技术在 病历中予以记录，包括机构名称、检查日期、档案号等；对住院 患者的检查检验互认资料应在病案中予以留存；对不予认可的检 查检验结果，应向患者或家属充分告知，并将复查依据记录在病 历中。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498" w:val="left"/>
        </w:tabs>
        <w:bidi w:val="0"/>
        <w:spacing w:before="0" w:after="0" w:line="674" w:lineRule="exact"/>
        <w:ind w:left="0" w:right="0" w:firstLine="660"/>
        <w:jc w:val="both"/>
      </w:pPr>
      <w:bookmarkStart w:id="18" w:name="bookmark18"/>
      <w:r>
        <w:rPr>
          <w:color w:val="000000"/>
          <w:spacing w:val="0"/>
          <w:w w:val="100"/>
          <w:position w:val="0"/>
        </w:rPr>
        <w:t>（</w:t>
      </w:r>
      <w:bookmarkEnd w:id="18"/>
      <w:r>
        <w:rPr>
          <w:color w:val="000000"/>
          <w:spacing w:val="0"/>
          <w:w w:val="100"/>
          <w:position w:val="0"/>
        </w:rPr>
        <w:t>三）</w:t>
        <w:tab/>
        <w:t>有下列情形之一者，可不列入互认范围或不受互认限制: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74" w:lineRule="exact"/>
        <w:ind w:left="0" w:right="0" w:firstLine="66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因病情变化，已有的检验、检查结果难以反映病人当前 实际病情的项目；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82" w:lineRule="exact"/>
        <w:ind w:left="0" w:right="0" w:firstLine="66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检查、检验结果与疾病发展关联程度高、变化幅度大的 项目；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79" w:lineRule="exact"/>
        <w:ind w:left="0" w:right="0" w:firstLine="66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检查、检验项目意义重大的，如手术、输血等重大医疗 措施前的检查检验等；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74" w:lineRule="exact"/>
        <w:ind w:left="0" w:right="0" w:firstLine="66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原检查、检验结果与目前病情明显不符的；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74" w:lineRule="exact"/>
        <w:ind w:left="0" w:right="0" w:firstLine="66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认为原检查诊断结果有疑的；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74" w:lineRule="exact"/>
        <w:ind w:left="0" w:right="0" w:firstLine="66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图像质量和方法不能满足诊断要求的医学影像学检查；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74" w:lineRule="exact"/>
        <w:ind w:left="0" w:right="0" w:firstLine="66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急诊、急救等抢救生命的紧急状态下；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51" w:val="left"/>
        </w:tabs>
        <w:bidi w:val="0"/>
        <w:spacing w:before="0" w:after="0" w:line="674" w:lineRule="exact"/>
        <w:ind w:left="0" w:right="0" w:firstLine="660"/>
        <w:jc w:val="both"/>
        <w:sectPr>
          <w:footerReference w:type="default" r:id="rId7"/>
          <w:footerReference w:type="even" r:id="rId8"/>
          <w:footerReference w:type="first" r:id="rId9"/>
          <w:footnotePr>
            <w:pos w:val="pageBottom"/>
            <w:numFmt w:val="decimal"/>
            <w:numRestart w:val="continuous"/>
          </w:footnotePr>
          <w:pgSz w:w="11900" w:h="16840"/>
          <w:pgMar w:top="1550" w:right="1357" w:bottom="1460" w:left="1596" w:header="0" w:footer="3" w:gutter="0"/>
          <w:cols w:space="720"/>
          <w:noEndnote/>
          <w:titlePg/>
          <w:rtlGutter w:val="0"/>
          <w:docGrid w:linePitch="360"/>
        </w:sectPr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患者或其家属要求进一步复查的；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22" w:val="left"/>
        </w:tabs>
        <w:bidi w:val="0"/>
        <w:spacing w:before="0" w:after="0" w:line="659" w:lineRule="exact"/>
        <w:ind w:left="0" w:right="0" w:firstLine="66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司法、伤残及病退等鉴定所需的；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22" w:val="left"/>
        </w:tabs>
        <w:bidi w:val="0"/>
        <w:spacing w:before="0" w:after="0" w:line="659" w:lineRule="exact"/>
        <w:ind w:left="0" w:right="0" w:firstLine="66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其他符合诊疗需要，确需进行复查的情形。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9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五' 数字化支撑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9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各级卫生健康行政部门和医疗机构要高度重视临床检查检 验数据的互联互通互认工作，加强数字化系统支撑保障。按照统 一工作部署和时间进度，根据业务规范和规则，积极做好临床检 查检验报告的院内数据采集与集成，确保标准统一；强化数据质 控，根据全省检查检验数据共享和质量控制规范，保证上传数据 的准确性、及时性、完整性等，确保临床检查检验报告、医学影 像类资料可调用可使用；提升接入带宽，做好前置机等基础环境 搭建，优化医生客户端、健康信息浏览器使用体验，做好院内系 统与省市平台的对接，确保本医疗机构临床检查检验类数据在全 省层面的互联和互通，并可提供互认情况统计数据。全省检查检 验互联互通互认信息逐步与智慧医保平台共享。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9" w:lineRule="exact"/>
        <w:ind w:left="0" w:right="0" w:firstLine="66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六' 政策保障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62" w:lineRule="exact"/>
        <w:ind w:left="0" w:right="0" w:firstLine="800"/>
        <w:jc w:val="both"/>
      </w:pPr>
      <w:bookmarkStart w:id="29" w:name="bookmark29"/>
      <w:r>
        <w:rPr>
          <w:color w:val="000000"/>
          <w:spacing w:val="0"/>
          <w:w w:val="100"/>
          <w:position w:val="0"/>
        </w:rPr>
        <w:t>（</w:t>
      </w:r>
      <w:bookmarkEnd w:id="29"/>
      <w:r>
        <w:rPr>
          <w:color w:val="000000"/>
          <w:spacing w:val="0"/>
          <w:w w:val="100"/>
          <w:position w:val="0"/>
        </w:rPr>
        <w:t>一）医保政策。各级医保部门应按照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“以收</w:t>
      </w:r>
      <w:r>
        <w:rPr>
          <w:color w:val="000000"/>
          <w:spacing w:val="0"/>
          <w:w w:val="100"/>
          <w:position w:val="0"/>
        </w:rPr>
        <w:t>定支、收支平 衡、略有结余”原则，综合考虑当年经济发展水平、重大政策调 整等因素，合理确定医保基金预算总额。健全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“结余</w:t>
      </w:r>
      <w:r>
        <w:rPr>
          <w:color w:val="000000"/>
          <w:spacing w:val="0"/>
          <w:w w:val="100"/>
          <w:position w:val="0"/>
        </w:rPr>
        <w:t>留用、超支 分担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”的激</w:t>
      </w:r>
      <w:r>
        <w:rPr>
          <w:color w:val="000000"/>
          <w:spacing w:val="0"/>
          <w:w w:val="100"/>
          <w:position w:val="0"/>
        </w:rPr>
        <w:t>励约束机制。不因检查、检验结果互认导致费用下降 而调减当年区域总额预算和单个医疗机构预算总额。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09" w:val="left"/>
        </w:tabs>
        <w:bidi w:val="0"/>
        <w:spacing w:before="0" w:after="0" w:line="656" w:lineRule="exact"/>
        <w:ind w:left="0" w:right="0" w:firstLine="780"/>
        <w:jc w:val="both"/>
      </w:pPr>
      <w:bookmarkStart w:id="30" w:name="bookmark30"/>
      <w:r>
        <w:rPr>
          <w:color w:val="000000"/>
          <w:spacing w:val="0"/>
          <w:w w:val="100"/>
          <w:position w:val="0"/>
        </w:rPr>
        <w:t>（</w:t>
      </w:r>
      <w:bookmarkEnd w:id="30"/>
      <w:r>
        <w:rPr>
          <w:color w:val="000000"/>
          <w:spacing w:val="0"/>
          <w:w w:val="100"/>
          <w:position w:val="0"/>
        </w:rPr>
        <w:t>二）</w:t>
        <w:tab/>
        <w:t>财政政策。各级财政部门可结合当地结果互认工作情 况和财力可能，对结果互认医疗责任保险等费用给予适当补助， 具体办法由各地自行确认。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619" w:val="left"/>
        </w:tabs>
        <w:bidi w:val="0"/>
        <w:spacing w:before="0" w:after="0" w:line="656" w:lineRule="exact"/>
        <w:ind w:left="0" w:right="0" w:firstLine="780"/>
        <w:jc w:val="both"/>
      </w:pPr>
      <w:bookmarkStart w:id="31" w:name="bookmark31"/>
      <w:r>
        <w:rPr>
          <w:color w:val="000000"/>
          <w:spacing w:val="0"/>
          <w:w w:val="100"/>
          <w:position w:val="0"/>
        </w:rPr>
        <w:t>（</w:t>
      </w:r>
      <w:bookmarkEnd w:id="31"/>
      <w:r>
        <w:rPr>
          <w:color w:val="000000"/>
          <w:spacing w:val="0"/>
          <w:w w:val="100"/>
          <w:position w:val="0"/>
        </w:rPr>
        <w:t>三）</w:t>
        <w:tab/>
        <w:t>其他。各级各类医疗机构要制定本单位检查检验结果 互认工作专项考核奖励制度，并按制度对医务人员进行考核奖 励，充分调动医务人员工作积极性。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6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七、风险机制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6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各级各类医疗机构探索购买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“检</w:t>
      </w:r>
      <w:r>
        <w:rPr>
          <w:color w:val="000000"/>
          <w:spacing w:val="0"/>
          <w:w w:val="100"/>
          <w:position w:val="0"/>
        </w:rPr>
        <w:t>查检验结果互认职业责任 险”，为医疗机构医务人员在实施检查检验结果互认工作中可能 出现的医疗风险提供有力保障。鼓励各级卫生健康行政部门会同 财政部门积极引入政保合作机制，与商业保险合作，对公立医疗 机构医务人员在实施结果互认工作中产生的医疗纠纷进行职业 责任保险。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56" w:lineRule="exact"/>
        <w:ind w:left="0" w:right="0" w:firstLine="640"/>
        <w:jc w:val="both"/>
        <w:rPr>
          <w:sz w:val="32"/>
          <w:szCs w:val="32"/>
        </w:rPr>
      </w:pPr>
      <w:r>
        <w:rPr>
          <w:color w:val="000000"/>
          <w:spacing w:val="0"/>
          <w:w w:val="100"/>
          <w:position w:val="0"/>
          <w:sz w:val="32"/>
          <w:szCs w:val="32"/>
        </w:rPr>
        <w:t>八' 工作要求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20" w:line="656" w:lineRule="exact"/>
        <w:ind w:left="0" w:right="0" w:firstLine="780"/>
        <w:jc w:val="both"/>
      </w:pPr>
      <w:bookmarkStart w:id="32" w:name="bookmark32"/>
      <w:r>
        <w:rPr>
          <w:color w:val="000000"/>
          <w:spacing w:val="0"/>
          <w:w w:val="100"/>
          <w:position w:val="0"/>
        </w:rPr>
        <w:t>（</w:t>
      </w:r>
      <w:bookmarkEnd w:id="32"/>
      <w:r>
        <w:rPr>
          <w:color w:val="000000"/>
          <w:spacing w:val="0"/>
          <w:w w:val="100"/>
          <w:position w:val="0"/>
        </w:rPr>
        <w:t>一）提高政治站位，加强组织领导。检查检验结果互认工 作是深化医药卫生体制改革工作的重要任务和要求，是推进全省 卫生健康领域数字化改革的重大应用场景，是进一步改善医疗服 务的重要落脚点。对于合理、有效利用卫生资源，降低患者就诊 费用，简化患者就医环节，提升患者就医获得感具有重要意义。 各级卫生健康行政部门及各级各类医疗机构要充分认识开展检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  <w:sectPr>
          <w:footerReference w:type="default" r:id="rId10"/>
          <w:footerReference w:type="even" r:id="rId11"/>
          <w:footerReference w:type="first" r:id="rId12"/>
          <w:footnotePr>
            <w:pos w:val="pageBottom"/>
            <w:numFmt w:val="decimal"/>
            <w:numRestart w:val="continuous"/>
          </w:footnotePr>
          <w:pgSz w:w="11900" w:h="16840"/>
          <w:pgMar w:top="1550" w:right="1357" w:bottom="1460" w:left="1596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  <w:sz w:val="28"/>
          <w:szCs w:val="28"/>
        </w:rPr>
        <w:t xml:space="preserve">7 - 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查检验结果互联互通互认及质量控制工作的重要性，成立工作推 进专班，倒排时间表，确保各项工作要求落到实处，逐步提高检 查检验结果同质化水平和互认比例。各级医保部门要切实重视检 查检验互认工作，要以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“应</w:t>
      </w:r>
      <w:r>
        <w:rPr>
          <w:color w:val="000000"/>
          <w:spacing w:val="0"/>
          <w:w w:val="100"/>
          <w:position w:val="0"/>
        </w:rPr>
        <w:t>检互认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”为</w:t>
      </w:r>
      <w:r>
        <w:rPr>
          <w:color w:val="000000"/>
          <w:spacing w:val="0"/>
          <w:w w:val="100"/>
          <w:position w:val="0"/>
        </w:rPr>
        <w:t>原则，加强监督检查，确保 基金规范合理使用。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66" w:val="left"/>
        </w:tabs>
        <w:bidi w:val="0"/>
        <w:spacing w:before="0" w:after="0" w:line="659" w:lineRule="exact"/>
        <w:ind w:left="0" w:right="0" w:firstLine="780"/>
        <w:jc w:val="both"/>
      </w:pPr>
      <w:bookmarkStart w:id="33" w:name="bookmark33"/>
      <w:r>
        <w:rPr>
          <w:color w:val="000000"/>
          <w:spacing w:val="0"/>
          <w:w w:val="100"/>
          <w:position w:val="0"/>
        </w:rPr>
        <w:t>（</w:t>
      </w:r>
      <w:bookmarkEnd w:id="33"/>
      <w:r>
        <w:rPr>
          <w:color w:val="000000"/>
          <w:spacing w:val="0"/>
          <w:w w:val="100"/>
          <w:position w:val="0"/>
        </w:rPr>
        <w:t>二）</w:t>
        <w:tab/>
        <w:t>加强质量控制，落实工作要求。医疗机构要进一步完 善互认制度，健全医疗质量和安全管理组织，加强医务人员培训， 规范操作流程；加强设施设备管理，提高检查检验质量。各级临 床检验、临床放射、医疗设备等相关质控中心要加强对相关专业 的质量控制，将所有开展医学影像和医学检验诊疗科目的医疗机 构均纳入质控范围，通过实施室内质控、室间质评，强化影像资 料的片质，提高报告书写质量，使各类医疗机构的检查检验结果 均能达到合格标准。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66" w:val="left"/>
        </w:tabs>
        <w:bidi w:val="0"/>
        <w:spacing w:before="0" w:after="0" w:line="659" w:lineRule="exact"/>
        <w:ind w:left="0" w:right="0" w:firstLine="780"/>
        <w:jc w:val="both"/>
        <w:sectPr>
          <w:footerReference w:type="default" r:id="rId13"/>
          <w:footerReference w:type="even" r:id="rId14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50" w:right="1357" w:bottom="1460" w:left="1596" w:header="1122" w:footer="3" w:gutter="0"/>
          <w:cols w:space="720"/>
          <w:noEndnote/>
          <w:rtlGutter w:val="0"/>
          <w:docGrid w:linePitch="360"/>
        </w:sectPr>
      </w:pPr>
      <w:bookmarkStart w:id="34" w:name="bookmark34"/>
      <w:r>
        <w:rPr>
          <w:color w:val="000000"/>
          <w:spacing w:val="0"/>
          <w:w w:val="100"/>
          <w:position w:val="0"/>
        </w:rPr>
        <w:t>（</w:t>
      </w:r>
      <w:bookmarkEnd w:id="34"/>
      <w:r>
        <w:rPr>
          <w:color w:val="000000"/>
          <w:spacing w:val="0"/>
          <w:w w:val="100"/>
          <w:position w:val="0"/>
        </w:rPr>
        <w:t>三）</w:t>
        <w:tab/>
        <w:t>强化监督考评，深化数字改革。各级卫生健康行政部 门要定期组织质控中心对辖区内医疗机构落实检查检验结果互 认工作的指导和监督管理，及时解决存在的问题。我委将建立健 全督导、反馈机制，对首次提醒调阅率、互认率等核心指标进行 排名通报。各市卫生健康行政部门要充分认识信息化建设的重要 性，按照全省统一标准（检查检验互认共享信息化建设方案另行 下发），加快信息化建设，打造满足医院、医生、患者等多方需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6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求的一体化平台。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665" w:lineRule="exact"/>
        <w:ind w:left="560" w:right="0" w:firstLine="800"/>
        <w:jc w:val="left"/>
      </w:pPr>
      <w:r>
        <w:rPr>
          <w:color w:val="000000"/>
          <w:spacing w:val="0"/>
          <w:w w:val="100"/>
          <w:position w:val="0"/>
        </w:rPr>
        <w:t>（四）加强宣传引导，提高社会认可。各级卫生健康行政部 门、各级各类医疗机构要及时将检查检验结果互认医疗机构名单 与互认项目向社会公示。同时要重视对互认工作的宣传，充分发 挥媒体作用，加强对公众的告知，引导就医群众合理、科学认识 结果互认工作，提高群众知晓率和认可度。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980" w:line="665" w:lineRule="exact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本实施意见自</w:t>
      </w:r>
      <w:r>
        <w:rPr>
          <w:b/>
          <w:bCs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b/>
          <w:bCs/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</w:rPr>
        <w:t>月</w:t>
      </w:r>
      <w:r>
        <w:rPr>
          <w:b/>
          <w:bCs/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日起施行。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220" w:right="0" w:firstLine="0"/>
        <w:jc w:val="left"/>
      </w:pPr>
      <w:r>
        <w:rPr>
          <w:color w:val="000000"/>
          <w:spacing w:val="0"/>
          <w:w w:val="100"/>
          <w:position w:val="0"/>
        </w:rPr>
        <w:t>附件：</w:t>
      </w: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浙江省临床检验结果互认项目清单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浙江省临床放射检查资料互认项目清单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28945" cy="1657985"/>
            <wp:docPr id="15" name="Picutr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528945" cy="16579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（信息公开形式：主动公开）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1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35" w:name="bookmark35"/>
      <w:bookmarkStart w:id="36" w:name="bookmark36"/>
      <w:bookmarkStart w:id="37" w:name="bookmark37"/>
      <w:r>
        <w:rPr>
          <w:color w:val="000000"/>
          <w:spacing w:val="0"/>
          <w:w w:val="100"/>
          <w:position w:val="0"/>
        </w:rPr>
        <w:t>浙江省临床检验结果互认项目清单</w:t>
      </w:r>
      <w:bookmarkEnd w:id="35"/>
      <w:bookmarkEnd w:id="36"/>
      <w:bookmarkEnd w:id="37"/>
    </w:p>
    <w:tbl>
      <w:tblPr>
        <w:tblOverlap w:val="never"/>
        <w:jc w:val="center"/>
        <w:tblLayout w:type="fixed"/>
      </w:tblPr>
      <w:tblGrid>
        <w:gridCol w:w="662"/>
        <w:gridCol w:w="1867"/>
        <w:gridCol w:w="2722"/>
        <w:gridCol w:w="481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25010101500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血常规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至少含白细胞及分类、红细胞、血红蛋白、 血小板、红细胞压积、平均红细胞体积、平 均血红蛋白量、平均血红蛋白浓度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项）</w:t>
            </w:r>
          </w:p>
        </w:tc>
      </w:tr>
      <w:tr>
        <w:trPr>
          <w:trHeight w:val="9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25010200100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尿常规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至少含酸碱度、比重、胆红素、酮体、蛋白 质、亚硝酸盐、葡萄糖、白细胞、尿胆原、 潜血及各项镜检（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项）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25010300100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粪便常规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25010300200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粪便隐血试验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25020302000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凝血酶原时间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活化部分凝血活酶时间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25020303000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纤维蛋白原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25020303500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凝血酶时间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25020390100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凝血功能常规检查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含血浆凝血酶原时间、活化部分凝血活酶时 间、血浆纤维蛋白原</w:t>
            </w: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总蛋白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白蛋白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25030100600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前白蛋白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25030190200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生化筛查常规检查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至少含总蛋白、白蛋白、丙氨酸氨基转移酶、 总胆红素、直接胆红素、尿素、肌酊、尿酸、 钾、钠、氯、总胆固醇、甘油三酯、高密度 脂蛋白胆固醇、葡萄糖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25030200100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葡萄糖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25030200300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糖化血红蛋白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Ale）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总胆固醇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甘油三酯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高密度脂蛋白胆固醇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低密度脂蛋白胆固醇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载脂蛋白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25030300900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载脂蛋白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25030301300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脂蛋白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（a）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1886"/>
        <w:gridCol w:w="2731"/>
        <w:gridCol w:w="4829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一序号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rPr>
          <w:trHeight w:val="75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25030390100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血脂常规检查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含总胆固醇、甘油三酯、高密度脂蛋白胆固 醇、低密度脂蛋白胆固醇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钙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无机磷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25030400700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总胆红素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直接胆红素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丙氨酸氨基转移酶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天门冬氨酸氨基转移酶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25030500900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Y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■谷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氨酰基转移酶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碱性磷酸酶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25030501400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胆碱酯酶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25030590100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肝功能常规检查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至少含总蛋白、白蛋白、天门冬氨酸氨基转 移酶、丙氨酸氨基转移酶、碱性磷酸酶、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y-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谷氨酰基转移酶、总胆红素、直接胆红素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25030600100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肌酸激酶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25030600500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乳酸脱氢酶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25030601100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同型半胱氨酸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肌酎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25030700500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25030790100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肾功能常规检查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含尿素、肌酎、尿酸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25030800400-1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血淀粉酶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25030800400-2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尿淀粉酶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促甲状腺激素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(TSH)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甲状腺素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(T4)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三碘甲状原氨酸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(T3)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游离甲状腺素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(FT4)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25031001400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游离三碘甲状原氨酸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658"/>
        <w:gridCol w:w="1862"/>
        <w:gridCol w:w="2722"/>
        <w:gridCol w:w="4814"/>
      </w:tblGrid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(FT3)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25031003800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人绒毛膜促性腺激素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25031003900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胰岛素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25031004100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C-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25031090100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甲状腺功能常规检查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含促甲状腺激素、甲状腺素、三碘甲状原氨 酸、游离甲状腺素、游离三碘甲状原氨酸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补体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补体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A(IgA)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G(IgG)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M(IgM)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免疫球蛋白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E(IgE)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25040102500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反应蛋白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25040301300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丙型肝炎病毒核酸检测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巨细胞病毒核酸检测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EB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病毒核酸检测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沙眼衣原体核酸检测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25040306500-4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淋球菌核酸检测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25040306600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人乳头瘤病毒核酸检测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癌胚抗原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CEA)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甲胎蛋白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AFP)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总前列腺特异性抗原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t-PSA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游离前列腺特异性抗原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f-PSA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25040400900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exac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神经元特异性烯醇化酶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(NSE)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rPr>
          <w:trHeight w:val="7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细胞角蛋白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片段测定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(CYFRA21-1)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CA15-3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</w:tbl>
    <w:p>
      <w:pPr>
        <w:widowControl w:val="0"/>
        <w:spacing w:line="1" w:lineRule="exact"/>
        <w:sectPr>
          <w:footerReference w:type="default" r:id="rId17"/>
          <w:footerReference w:type="even" r:id="rId18"/>
          <w:footerReference w:type="first" r:id="rId19"/>
          <w:footnotePr>
            <w:pos w:val="pageBottom"/>
            <w:numFmt w:val="decimal"/>
            <w:numRestart w:val="continuous"/>
          </w:footnotePr>
          <w:pgSz w:w="11900" w:h="16840"/>
          <w:pgMar w:top="1938" w:right="774" w:bottom="1540" w:left="1023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648"/>
        <w:gridCol w:w="1891"/>
        <w:gridCol w:w="2722"/>
        <w:gridCol w:w="4834"/>
      </w:tblGrid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2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唯一编码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项目规范中文名称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套餐组合内包含项目及备注</w:t>
            </w:r>
          </w:p>
        </w:tc>
      </w:tr>
      <w:tr>
        <w:trPr>
          <w:trHeight w:val="76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CA19-9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rPr>
          <w:trHeight w:val="7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糖类抗原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CA72-4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rPr>
          <w:trHeight w:val="8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鳞状细胞癌相关抗原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(SCC)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须标注检测系统，原则上在相同检测系统 条件下互认，不同检测系统酌情互认。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25040401500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铁蛋白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25040490100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肿瘤标志物检测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exact"/>
              <w:ind w:left="200" w:right="0" w:hanging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含癌胚抗原测定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(CEA)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甲胎蛋白测定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(AFP)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、糖类抗原测定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CA19-9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细菌涂片检查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结核分枝杆菌涂片检查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耐甲氧西林葡萄球菌检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测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MRSA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MRS)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25050100900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一般细菌培养及鉴定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尿培养加菌落计数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25050101800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霍乱孤菌培养及鉴定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25050102400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9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0—157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大肠埃希菌培养 及鉴定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25050102600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真菌涂片检查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25070001202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新型冠状病毒核酸检测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25070100100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乙型肝炎病毒核酸检测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25070100500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结核分枝杆菌核酸检测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b/>
          <w:bCs/>
          <w:color w:val="000000"/>
          <w:spacing w:val="0"/>
          <w:w w:val="100"/>
          <w:position w:val="0"/>
        </w:rPr>
        <w:t>2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8" w:name="bookmark38"/>
      <w:bookmarkStart w:id="39" w:name="bookmark39"/>
      <w:bookmarkStart w:id="40" w:name="bookmark40"/>
      <w:r>
        <w:rPr>
          <w:color w:val="000000"/>
          <w:spacing w:val="0"/>
          <w:w w:val="100"/>
          <w:position w:val="0"/>
        </w:rPr>
        <w:t>浙江省临床放射检査资料互认项目清单</w:t>
      </w:r>
      <w:bookmarkEnd w:id="38"/>
      <w:bookmarkEnd w:id="39"/>
      <w:bookmarkEnd w:id="40"/>
    </w:p>
    <w:tbl>
      <w:tblPr>
        <w:tblOverlap w:val="never"/>
        <w:jc w:val="center"/>
        <w:tblLayout w:type="fixed"/>
      </w:tblPr>
      <w:tblGrid>
        <w:gridCol w:w="720"/>
        <w:gridCol w:w="768"/>
        <w:gridCol w:w="792"/>
        <w:gridCol w:w="1901"/>
        <w:gridCol w:w="3874"/>
        <w:gridCol w:w="2021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立位腹部平片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线全腹部前后立位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BW00ZZZ80-00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卧位腹部平片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线全腹部，仰卧前后位或侧卧水 平位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BW00ZZZ00-00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线髄骼关节前后位，包括双侧懺 骼关节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BR0DZZZ00-00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线骨盆前后位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BR0CZZZ00-00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右髄关节正侧位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右髄关节正侧位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BQ00ZZZ0B-00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右髄关节正位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右髓关节正位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BQ00ZZZ00-00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左髄关节正侧位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左髓关节正侧位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BQ01ZZZ0B-00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左髄关节正位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左髓关节正位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BQ01ZZZ00-00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甑尾椎正侧位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能尾椎正侧位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BR0FZZZ0B-00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颈椎过伸过屈位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颈椎过伸过屈位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BR00ZZZEA-00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颈椎双斜位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颈椎双斜位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BR00ZZZ8F-00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颈椎张口位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颈椎张口位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BR0LZZZRB-00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BR00ZZZ8B-00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全脊柱正侧位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全脊柱正侧位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BR0GZZZ8B-00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胸腰椎正侧位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胸腰椎正侧位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BR08ZZZ0B-00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BR07ZZZ0B-00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腰甑椎正侧位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腰甑椎正侧位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BR0BZZZ0B-00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腰椎过伸过屈位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腰椎过伸过屈位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BR09ZZZEA-00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腰椎双斜位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腰椎双斜位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BR09ZZZ0F-00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BR09ZZZ0B-00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右肩关节正位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线右侧肩关节前后位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BP08ZZZ80-00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右肩胛骨正位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线右侧肩胛骨前后位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BP06ZZZ80-00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右锁骨正位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右锁骨正位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BP04ZZZ81-00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左肩关节正位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线左侧肩关节前后位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BP09ZZZ80-00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左肩胛骨正位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线左侧肩胛骨前后位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BP07ZZZ80-00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06"/>
        <w:gridCol w:w="778"/>
        <w:gridCol w:w="797"/>
        <w:gridCol w:w="1906"/>
        <w:gridCol w:w="3898"/>
        <w:gridCol w:w="2002"/>
      </w:tblGrid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肩部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左锁骨正位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左锁骨正位</w:t>
            </w:r>
            <w:r>
              <w:rPr>
                <w:color w:val="343D67"/>
                <w:spacing w:val="0"/>
                <w:w w:val="100"/>
                <w:position w:val="0"/>
                <w:sz w:val="22"/>
                <w:szCs w:val="22"/>
              </w:rPr>
              <w:t>、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BP05ZZZ81-00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双侧乳腺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线乳腺摄影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BH02ZZZZG-00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右侧乳腺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线乳腺摄影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BH00ZZZZG-00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左侧乳腺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线乳腺摄影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BH01ZZZZG-00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线正位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BP0PZPZZ1-00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双手正位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双手正位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BP0QZZZZ1-00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右尺橈骨正侧位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右尺橈骨正侧位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BP0JZZZZB-00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右肱骨正侧位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右肱骨正侧位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BP0AZZZZB-00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右手正斜位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右手正斜位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BP0NZZZZE-00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右手指正侧位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右手指正侧位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BP0RZZZZB-00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BP0LZZZZB-00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右肘关节正侧位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右肘关节正侧位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BP0GZZZZB-00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左尺橈骨正侧位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左尺橈骨正侧位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BP0KZZZZB-00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左肱骨正侧位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左肱骨正侧位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BP0BZZZZB-00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左手正斜位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左手正斜位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BP0PZZZZE-00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左手指正侧位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左手指正侧位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BP0SZZZZB-00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BP0MZZZZB-00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左肘关节正侧位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左肘关节正侧位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BP0HZZZZB-00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鼻骨侧位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线鼻骨侧位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BN04ZZZZA-00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BN00ZZZ1B-00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双膝关节站立正 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双膝关节站立正侧位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BQ09ZZZ8B-00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双下肢全长片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双下肢全长片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BQ0TZZZ80-00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右髏骨轴位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右侧髏骨轴位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BQ0VZZZ12-00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右跟骨轴侧位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线右侧跟骨轴位加侧位片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BQ0JZZZ0B-00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右股骨正侧位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右股骨正侧位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BQ03ZZZ0B-00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BQ0GZZZ0B-00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右胫腓骨正侧位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右胫腓骨正侧位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BQ0BZZZ0B-00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右膝关节正侧位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右膝关节正侧位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BQ07ZZZ0B-00</w:t>
            </w:r>
          </w:p>
        </w:tc>
      </w:tr>
    </w:tbl>
    <w:p>
      <w:pPr>
        <w:widowControl w:val="0"/>
        <w:spacing w:line="1" w:lineRule="exact"/>
        <w:sectPr>
          <w:footerReference w:type="default" r:id="rId20"/>
          <w:footerReference w:type="even" r:id="rId21"/>
          <w:footnotePr>
            <w:pos w:val="pageBottom"/>
            <w:numFmt w:val="decimal"/>
            <w:numRestart w:val="continuous"/>
          </w:footnotePr>
          <w:pgSz w:w="11900" w:h="16840"/>
          <w:pgMar w:top="1938" w:right="774" w:bottom="1540" w:left="1023" w:header="0" w:footer="3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725"/>
        <w:gridCol w:w="763"/>
        <w:gridCol w:w="792"/>
        <w:gridCol w:w="1901"/>
        <w:gridCol w:w="3878"/>
        <w:gridCol w:w="2021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右足正斜位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右足正斜位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BQ0LZZZZE-00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左髏骨轴位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左侧髏骨轴位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BQ0WZZZ12-00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左跟骨轴侧位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线左侧跟骨轴位加侧位片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BQ0KZZZ0B-00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左股骨正侧位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左股骨正侧位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BQ04ZZZ0B-00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BQ0HZZZ0B-00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左胫腓骨正侧位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左胫腓骨正侧位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BQ0CZZZ0B-00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左膝关节正侧位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左膝关节正侧位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BQ08ZZZ0B-00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左足正斜位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左足正斜位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BQ0MZZZZE-00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BP0WZZZZ0-00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肋骨正斜位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肋骨正斜位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BP0WZZZZE-00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心脏三位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心脏三位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BW03ZZZ8C-00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胸部右侧位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线胸部右侧位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BW03ZZZZ9-00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BW03ZZZ8B-00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线胸部后前位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BW03ZZZZ1-00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胸部左侧位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线胸部左侧位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BW03ZZZZ8-00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胸骨正侧位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胸骨正侧位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BR0HZZZ1B-00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胸锁关节正位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线双侧胸锁关节后前位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BP02ZZZZ1-00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平扫，包括上下腹部和盆腔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BW21ZYZZZ-00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全腹部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平扫加增强，包括上下腹 部和盆腔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BW2110ZZZ-00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尿路成像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延迟增强，包括双肾、输 尿管和膀胱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BT241CZZZ-00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BF2510ZZZ-00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BR2CZYZZZ-00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平扫，包括双肾、输尿管 和膀胱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BT24ZYZZZ-00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泌尿系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平扫加增强，包括双肾、 输尿管和膀胱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BT2410ZZZ-00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BW2GZYZZZ-00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BW2G10ZZZ-00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上腹部平扫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BW26ZYZZZ-00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20"/>
        <w:gridCol w:w="763"/>
        <w:gridCol w:w="797"/>
        <w:gridCol w:w="1901"/>
        <w:gridCol w:w="3902"/>
        <w:gridCol w:w="2006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BW2610ZZZ-00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BG22ZYZZZ-00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肾上腺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BG2210ZZZ-00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肾脏增强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肾脏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BT2310ZZZ-00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BW27ZYZZZ-00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BW2710ZZZ-00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小肠增强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小肠平扫加增强扫描，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BD2310ZZZ-00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BF2710ZZZ-00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BR2DZYZZZ-00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甑尾椎平扫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髄尾椎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BR2FZYZZZ-00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BR20ZYZZZ-00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BR27ZYZZZ-00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腰椎间盘平扫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腰椎间盘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BR23ZYZZZ-00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BR29ZYZZZ-00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右尺橈骨平扫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右侧前臂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BP2JZUZZZ-00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右肱骨平扫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右侧上臂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BP2EZUZZZ-00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右侧肩关节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BP28ZUZZZ-00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右手平扫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BP2NZUZZZ-00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右侧腕关节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BP2LZUZZZ-00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右肘关节平扫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右侧肘关节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BP2GZUZZZ-00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左尺橈骨平扫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左侧前臂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BP2KZUZZZ-00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左肱骨平扫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左侧上臂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BP2FZUZZZ-00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左侧肩关节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BP29ZUZZZ-00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左手平扫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左侧手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BP2PZUZZZ-00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左侧腕关节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BP2MZUZZZ-00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左肘关节平扫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左侧肘关节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BP2HZUZZZ-00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鼻窦平扫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鼻旁窦普通扫描（平扫）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B922ZYZZZ-00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鼻骨薄层平扫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BN24ZUZZZ-00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109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鼻咽平扫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B92FZYZZZ-00</w:t>
            </w:r>
          </w:p>
        </w:tc>
      </w:tr>
    </w:tbl>
    <w:p>
      <w:pPr>
        <w:widowControl w:val="0"/>
        <w:spacing w:line="1" w:lineRule="exact"/>
        <w:sectPr>
          <w:footerReference w:type="default" r:id="rId22"/>
          <w:footerReference w:type="even" r:id="rId23"/>
          <w:footerReference w:type="first" r:id="rId24"/>
          <w:footnotePr>
            <w:pos w:val="pageBottom"/>
            <w:numFmt w:val="decimal"/>
            <w:numRestart w:val="continuous"/>
          </w:footnotePr>
          <w:pgSz w:w="11900" w:h="16840"/>
          <w:pgMar w:top="1938" w:right="774" w:bottom="1540" w:left="1023" w:header="0" w:footer="3" w:gutter="0"/>
          <w:cols w:space="720"/>
          <w:noEndnote/>
          <w:titlePg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730"/>
        <w:gridCol w:w="763"/>
        <w:gridCol w:w="792"/>
        <w:gridCol w:w="1896"/>
        <w:gridCol w:w="3878"/>
        <w:gridCol w:w="2035"/>
      </w:tblGrid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B92F10ZZZ-00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喉平扫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喉部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B92JZYZZZ-00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BW2FZYZZZ-00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BW2F10ZZZ-00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颅底薄层平扫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颅底薄层高分辨扫描（平扫）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BN2MZBZZZ-00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撷骨平扫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骨高分辨率扫描（平扫）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BN2FZBZZZ-00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上颌骨平扫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上颌骨薄层扫描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BN2RZUZZZ-00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包括颅底和颈部连续平扫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BW29ZYZZZ-00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头颈部增强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包括颅底和颈部连续平扫加增强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BW2910ZZZ-00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B020ZYZZZ-00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B02010ZZZ-00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下颌骨平扫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颌骨薄层扫描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BN26ZUZZZ-00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眼眶平扫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眼眶普通扫描（平扫）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BN23ZYZZZ-00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双髄关节平扫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双侧髓关节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BQ22ZYZZZ-00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右股骨平扫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右侧股骨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BQ23ZUZZZ-00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BQ2GZUZZZ-00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右胫腓骨平扫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右侧胫腓骨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BQ2BZUZZZ-00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BQ27ZUZZZ-00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右足平扫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右侧足部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BQ2LZUZZZ-00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左股骨平扫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左侧股骨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BQ24ZUZZZ-00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BQ2HZUZZZ-00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左胫腓骨平扫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左侧胫腓骨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BQ2CZUZZZ-00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BQ28ZUZZZ-00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左足平扫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左侧足部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薄层扫描（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BQ2MZUZZZ-00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肺低剂量平扫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双肺低剂量平扫，主要用于体检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BB24ZDZZZ-00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肺高分辨率平扫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肺部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高分辨率扫描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BB24ZBZZZ-00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肋骨平扫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双侧肋骨薄层扫描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3D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处理）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BP2WZUZZZ-00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BW23ZYZZZ-00</w:t>
            </w:r>
          </w:p>
        </w:tc>
      </w:tr>
      <w:tr>
        <w:trPr>
          <w:trHeight w:val="45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胸部增强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BW2310ZZZ-00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25"/>
        <w:gridCol w:w="773"/>
        <w:gridCol w:w="787"/>
        <w:gridCol w:w="1910"/>
        <w:gridCol w:w="3898"/>
        <w:gridCol w:w="2006"/>
      </w:tblGrid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2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冠脉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心脏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冠状动脉造影，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B2211WZZZ-00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血管造影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B32R1WZZZ-00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MRCP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exact"/>
              <w:ind w:left="200" w:right="0" w:hanging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胆囊、胆管和胰管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水成像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MRCP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BF34ZLZZZ-00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肝脏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BF3550ZZZ-00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上腹部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BW3650ZZZ-00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腹部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胰腺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BF3750ZZZ-00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甑尾椎平扫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髄尾椎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BR3FZYZZZ-00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颈胸段脊柱平扫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下颈段和上胸段椎体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BR3MZYZZZ-00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颈椎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BR30ZYZZZ-00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胸腰段脊柱平扫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下胸段和上腰段椎体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BR38ZYZZZ-00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BR37ZYZZZ-00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脊柱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腰椎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BR39ZYZZZ-00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懺骼关节平扫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髄骼关节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BR3DZYZZZ-00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骨盆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平扫，包括双侧髓关节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BR3CZYZZZ-00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BW3GZYZZZ-00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BW3G50ZZZ-00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盆腔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前列腺增强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前列腺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BV3950ZZZ-00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右肩平扫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右侧肩关节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BP38ZYZZZ-00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右腕平扫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右侧腕关节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BP3LZYZZZ-00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左肩平扫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左侧肩关节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BP39ZYZZZ-00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上肢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左腕平扫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左侧腕关节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BP3MZYZZZ-00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B039ZYZZZ-00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B03950ZZZ-00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血管造影（不用造影剂）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B33RZWZZZ-00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B030ZYZZZ-00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头颅平扫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+DWI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普通扫描（平扫）加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DWI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B030ZMZZZ-00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头颅增强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颅脑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2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B03050ZZZ-00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鼻咽部平扫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鼻咽口咽部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B93FZYZZZ-00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720"/>
        <w:gridCol w:w="763"/>
        <w:gridCol w:w="792"/>
        <w:gridCol w:w="1896"/>
        <w:gridCol w:w="3878"/>
        <w:gridCol w:w="2006"/>
      </w:tblGrid>
      <w:tr>
        <w:trPr>
          <w:trHeight w:val="45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模态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部位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项目中文简称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项目释义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编码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鼻咽部增强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鼻咽口咽部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B93F50ZZZ-00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垂体动态增强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垂体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平扫加（动态）增强扫描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B0395NZZZ-00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内听道增强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听神经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B03C50ZZZ-00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右眼眶平扫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B835ZYZZZ-00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右眼眶增强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右眼部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B83550ZZZ-00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左眼眶平扫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B836ZYZZZ-00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五官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左眼眶增强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左眼部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平扫加增强扫描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B83650ZZZ-00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右踝平扫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BQ3GZYZZZ-00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右髓平扫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右侧髓关节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BQ30ZYZZZ-00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右膝平扫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右侧膝关节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BQ37ZYZZZ-00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左踝平扫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BQ3HZYZZZ-00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左髄平扫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左侧髓关节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BQ31ZYZZZ-00</w:t>
            </w:r>
          </w:p>
        </w:tc>
      </w:tr>
      <w:tr>
        <w:trPr>
          <w:trHeight w:val="43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下肢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左膝平扫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左侧膝关节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普通扫描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BQ38ZYZZZ-00</w:t>
            </w:r>
          </w:p>
        </w:tc>
      </w:tr>
      <w:tr>
        <w:trPr>
          <w:trHeight w:val="65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胸部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乳腺动态增强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exact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双侧乳腺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MRI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平扫加（动态）增强 扫描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BH325NZ1Z-00</w:t>
            </w:r>
          </w:p>
        </w:tc>
      </w:tr>
    </w:tbl>
    <w:p>
      <w:pPr>
        <w:widowControl w:val="0"/>
        <w:spacing w:after="4479" w:line="1" w:lineRule="exact"/>
      </w:pPr>
    </w:p>
    <w:p>
      <w:pPr>
        <w:pStyle w:val="Style16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880"/>
        <w:jc w:val="left"/>
      </w:pPr>
      <w:r>
        <w:rPr>
          <w:color w:val="000000"/>
          <w:spacing w:val="0"/>
          <w:w w:val="100"/>
          <w:position w:val="0"/>
        </w:rPr>
        <w:t>抄送：国家卫生健康委办公厅，省委改革办、省共富办。</w:t>
      </w:r>
    </w:p>
    <w:p>
      <w:pPr>
        <w:widowControl w:val="0"/>
        <w:spacing w:line="1" w:lineRule="exact"/>
        <w:sectPr>
          <w:footerReference w:type="default" r:id="rId25"/>
          <w:footerReference w:type="even" r:id="rId26"/>
          <w:footerReference w:type="first" r:id="rId27"/>
          <w:footnotePr>
            <w:pos w:val="pageBottom"/>
            <w:numFmt w:val="decimal"/>
            <w:numRestart w:val="continuous"/>
          </w:footnotePr>
          <w:pgSz w:w="11900" w:h="16840"/>
          <w:pgMar w:top="1938" w:right="774" w:bottom="1540" w:left="1023" w:header="0" w:footer="3" w:gutter="0"/>
          <w:cols w:space="720"/>
          <w:noEndnote/>
          <w:titlePg/>
          <w:rtlGutter w:val="0"/>
          <w:docGrid w:linePitch="360"/>
        </w:sectPr>
      </w:pPr>
      <w:r>
        <mc:AlternateContent>
          <mc:Choice Requires="wps">
            <w:drawing>
              <wp:anchor distT="115570" distB="0" distL="0" distR="0" simplePos="0" relativeHeight="125829378" behindDoc="0" locked="0" layoutInCell="1" allowOverlap="1">
                <wp:simplePos x="0" y="0"/>
                <wp:positionH relativeFrom="page">
                  <wp:posOffset>1243965</wp:posOffset>
                </wp:positionH>
                <wp:positionV relativeFrom="paragraph">
                  <wp:posOffset>115570</wp:posOffset>
                </wp:positionV>
                <wp:extent cx="2313305" cy="214630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13305" cy="21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浙江省卫生健康委员会办公室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97.950000000000003pt;margin-top:9.0999999999999996pt;width:182.15000000000001pt;height:16.899999999999999pt;z-index:-125829375;mso-wrap-distance-left:0;mso-wrap-distance-top:9.0999999999999996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浙江省卫生健康委员会办公室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01600" distB="10795" distL="0" distR="0" simplePos="0" relativeHeight="125829380" behindDoc="0" locked="0" layoutInCell="1" allowOverlap="1">
                <wp:simplePos x="0" y="0"/>
                <wp:positionH relativeFrom="page">
                  <wp:posOffset>4752340</wp:posOffset>
                </wp:positionH>
                <wp:positionV relativeFrom="paragraph">
                  <wp:posOffset>101600</wp:posOffset>
                </wp:positionV>
                <wp:extent cx="1761490" cy="217805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61490" cy="2178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2021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年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月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13 0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印发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374.19999999999999pt;margin-top:8.pt;width:138.70000000000002pt;height:17.150000000000002pt;z-index:-125829373;mso-wrap-distance-left:0;mso-wrap-distance-top:8.pt;mso-wrap-distance-right:0;mso-wrap-distance-bottom:0.84999999999999998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2021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年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月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13 0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印发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66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2020" w:right="0" w:bottom="182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（校对：王献文）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2020" w:right="825" w:bottom="1820" w:left="1020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9761855</wp:posOffset>
              </wp:positionV>
              <wp:extent cx="52070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0.60000000000002pt;margin-top:768.64999999999998pt;width:4.0999999999999996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9829800</wp:posOffset>
              </wp:positionV>
              <wp:extent cx="579120" cy="12509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912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84.600000000000009pt;margin-top:774.pt;width:45.600000000000001pt;height:9.8499999999999996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8 -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6249670</wp:posOffset>
              </wp:positionH>
              <wp:positionV relativeFrom="page">
                <wp:posOffset>9672320</wp:posOffset>
              </wp:positionV>
              <wp:extent cx="140335" cy="120650"/>
              <wp:wrapNone/>
              <wp:docPr id="16" name="Shape 1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335" cy="1206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2" type="#_x0000_t202" style="position:absolute;margin-left:492.10000000000002pt;margin-top:761.60000000000002pt;width:11.050000000000001pt;height:9.5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1339215</wp:posOffset>
              </wp:positionH>
              <wp:positionV relativeFrom="page">
                <wp:posOffset>9821545</wp:posOffset>
              </wp:positionV>
              <wp:extent cx="399415" cy="123190"/>
              <wp:wrapNone/>
              <wp:docPr id="18" name="Shape 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941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4" type="#_x0000_t202" style="position:absolute;margin-left:105.45pt;margin-top:773.35000000000002pt;width:31.449999999999999pt;height:9.7000000000000011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6082030</wp:posOffset>
              </wp:positionH>
              <wp:positionV relativeFrom="page">
                <wp:posOffset>9772650</wp:posOffset>
              </wp:positionV>
              <wp:extent cx="570230" cy="12319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023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478.90000000000003pt;margin-top:769.5pt;width:44.899999999999999pt;height:9.7000000000000011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6240780</wp:posOffset>
              </wp:positionH>
              <wp:positionV relativeFrom="page">
                <wp:posOffset>9780905</wp:posOffset>
              </wp:positionV>
              <wp:extent cx="149225" cy="12319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922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491.40000000000003pt;margin-top:770.14999999999998pt;width:11.75pt;height:9.7000000000000011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9709150</wp:posOffset>
              </wp:positionV>
              <wp:extent cx="667385" cy="121920"/>
              <wp:wrapNone/>
              <wp:docPr id="24" name="Shape 2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73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0" type="#_x0000_t202" style="position:absolute;margin-left:84.950000000000003pt;margin-top:764.5pt;width:52.550000000000004pt;height:9.5999999999999996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6242685</wp:posOffset>
              </wp:positionH>
              <wp:positionV relativeFrom="page">
                <wp:posOffset>9779000</wp:posOffset>
              </wp:positionV>
              <wp:extent cx="144780" cy="12192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478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91.55000000000001pt;margin-top:770.pt;width:11.4pt;height:9.5999999999999996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6242685</wp:posOffset>
              </wp:positionH>
              <wp:positionV relativeFrom="page">
                <wp:posOffset>9779000</wp:posOffset>
              </wp:positionV>
              <wp:extent cx="144780" cy="12192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478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491.55000000000001pt;margin-top:770.pt;width:11.4pt;height:9.5999999999999996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1342390</wp:posOffset>
              </wp:positionH>
              <wp:positionV relativeFrom="page">
                <wp:posOffset>9792970</wp:posOffset>
              </wp:positionV>
              <wp:extent cx="403860" cy="12319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386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105.7pt;margin-top:771.10000000000002pt;width:31.800000000000001pt;height:9.7000000000000011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6251575</wp:posOffset>
              </wp:positionH>
              <wp:positionV relativeFrom="page">
                <wp:posOffset>9779000</wp:posOffset>
              </wp:positionV>
              <wp:extent cx="399415" cy="123190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9415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19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492.25pt;margin-top:770.pt;width:31.449999999999999pt;height:9.7000000000000011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19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9797415</wp:posOffset>
              </wp:positionV>
              <wp:extent cx="662940" cy="12319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294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20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0" type="#_x0000_t202" style="position:absolute;margin-left:86.400000000000006pt;margin-top:771.45000000000005pt;width:52.200000000000003pt;height:9.7000000000000011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20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1347470</wp:posOffset>
              </wp:positionH>
              <wp:positionV relativeFrom="page">
                <wp:posOffset>9795510</wp:posOffset>
              </wp:positionV>
              <wp:extent cx="402590" cy="123190"/>
              <wp:wrapNone/>
              <wp:docPr id="36" name="Shape 3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0259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CN" w:eastAsia="zh-CN" w:bidi="zh-CN"/>
                            </w:rPr>
                            <w:t xml:space="preserve">18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2" type="#_x0000_t202" style="position:absolute;margin-left:106.10000000000001pt;margin-top:771.30000000000007pt;width:31.699999999999999pt;height:9.7000000000000011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CN" w:eastAsia="zh-CN" w:bidi="zh-CN"/>
                      </w:rPr>
                      <w:t xml:space="preserve">18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6074410</wp:posOffset>
              </wp:positionH>
              <wp:positionV relativeFrom="page">
                <wp:posOffset>9829800</wp:posOffset>
              </wp:positionV>
              <wp:extent cx="575945" cy="12192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594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—5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78.30000000000001pt;margin-top:774.pt;width:45.350000000000001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—5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6074410</wp:posOffset>
              </wp:positionH>
              <wp:positionV relativeFrom="page">
                <wp:posOffset>9829800</wp:posOffset>
              </wp:positionV>
              <wp:extent cx="575945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594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—5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78.30000000000001pt;margin-top:774.pt;width:45.350000000000001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—5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9778365</wp:posOffset>
              </wp:positionV>
              <wp:extent cx="575945" cy="12509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5945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84.450000000000003pt;margin-top:769.95000000000005pt;width:45.350000000000001pt;height:9.84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1077595</wp:posOffset>
              </wp:positionH>
              <wp:positionV relativeFrom="page">
                <wp:posOffset>9829800</wp:posOffset>
              </wp:positionV>
              <wp:extent cx="579120" cy="12319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9120" cy="1231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6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84.850000000000009pt;margin-top:774.pt;width:45.600000000000001pt;height:9.7000000000000011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6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9829800</wp:posOffset>
              </wp:positionV>
              <wp:extent cx="579120" cy="12509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912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8 -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4.600000000000009pt;margin-top:774.pt;width:45.600000000000001pt;height:9.84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-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8 -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9">
    <w:name w:val="Heading #1|1_"/>
    <w:basedOn w:val="DefaultParagraphFont"/>
    <w:link w:val="Style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E73D39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2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5">
    <w:name w:val="Header or footer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7">
    <w:name w:val="Body text|3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20">
    <w:name w:val="Picture caption|1_"/>
    <w:basedOn w:val="DefaultParagraphFont"/>
    <w:link w:val="Style19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22">
    <w:name w:val="Heading #2|1_"/>
    <w:basedOn w:val="DefaultParagraphFont"/>
    <w:link w:val="Style21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24">
    <w:name w:val="Other|2_"/>
    <w:basedOn w:val="DefaultParagraphFont"/>
    <w:link w:val="Style23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6">
    <w:name w:val="Other|1_"/>
    <w:basedOn w:val="DefaultParagraphFont"/>
    <w:link w:val="Style25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466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8">
    <w:name w:val="Heading #1|1"/>
    <w:basedOn w:val="Normal"/>
    <w:link w:val="CharStyle9"/>
    <w:pPr>
      <w:widowControl w:val="0"/>
      <w:shd w:val="clear" w:color="auto" w:fill="auto"/>
      <w:spacing w:after="1100" w:line="989" w:lineRule="exact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E73D39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Style10">
    <w:name w:val="Body text|2"/>
    <w:basedOn w:val="Normal"/>
    <w:link w:val="CharStyle11"/>
    <w:pPr>
      <w:widowControl w:val="0"/>
      <w:shd w:val="clear" w:color="auto" w:fill="auto"/>
      <w:spacing w:after="600" w:line="665" w:lineRule="exact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4">
    <w:name w:val="Header or footer|1"/>
    <w:basedOn w:val="Normal"/>
    <w:link w:val="CharStyle1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6">
    <w:name w:val="Body text|3"/>
    <w:basedOn w:val="Normal"/>
    <w:link w:val="CharStyle17"/>
    <w:pPr>
      <w:widowControl w:val="0"/>
      <w:shd w:val="clear" w:color="auto" w:fill="auto"/>
      <w:ind w:firstLine="44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19">
    <w:name w:val="Picture caption|1"/>
    <w:basedOn w:val="Normal"/>
    <w:link w:val="CharStyle20"/>
    <w:pPr>
      <w:widowControl w:val="0"/>
      <w:shd w:val="clear" w:color="auto" w:fill="auto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21">
    <w:name w:val="Heading #2|1"/>
    <w:basedOn w:val="Normal"/>
    <w:link w:val="CharStyle22"/>
    <w:pPr>
      <w:widowControl w:val="0"/>
      <w:shd w:val="clear" w:color="auto" w:fill="auto"/>
      <w:spacing w:after="24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23">
    <w:name w:val="Other|2"/>
    <w:basedOn w:val="Normal"/>
    <w:link w:val="CharStyle2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5">
    <w:name w:val="Other|1"/>
    <w:basedOn w:val="Normal"/>
    <w:link w:val="CharStyle26"/>
    <w:pPr>
      <w:widowControl w:val="0"/>
      <w:shd w:val="clear" w:color="auto" w:fill="auto"/>
      <w:spacing w:line="466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image" Target="media/image1.jpeg"/><Relationship Id="rId16" Type="http://schemas.openxmlformats.org/officeDocument/2006/relationships/image" Target="media/image1.jpeg" TargetMode="Externa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/Relationships>
</file>